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3B" w:rsidRPr="003A0365" w:rsidRDefault="0020268E" w:rsidP="007105BC">
      <w:pPr>
        <w:numPr>
          <w:ilvl w:val="0"/>
          <w:numId w:val="5"/>
        </w:numPr>
        <w:spacing w:before="240"/>
        <w:ind w:left="0"/>
        <w:jc w:val="both"/>
        <w:rPr>
          <w:rFonts w:ascii="Arial" w:hAnsi="Arial" w:cs="Arial"/>
          <w:bCs/>
          <w:spacing w:val="-3"/>
          <w:sz w:val="20"/>
          <w:szCs w:val="22"/>
        </w:rPr>
      </w:pPr>
      <w:bookmarkStart w:id="0" w:name="_GoBack"/>
      <w:bookmarkEnd w:id="0"/>
      <w:r w:rsidRPr="0020268E">
        <w:rPr>
          <w:rFonts w:ascii="Arial" w:hAnsi="Arial" w:cs="Arial"/>
          <w:color w:val="auto"/>
          <w:sz w:val="22"/>
          <w:szCs w:val="23"/>
        </w:rPr>
        <w:t>As rule maker and market developer for Australian energy markets, the A</w:t>
      </w:r>
      <w:r w:rsidR="003F5ECC">
        <w:rPr>
          <w:rFonts w:ascii="Arial" w:hAnsi="Arial" w:cs="Arial"/>
          <w:color w:val="auto"/>
          <w:sz w:val="22"/>
          <w:szCs w:val="23"/>
        </w:rPr>
        <w:t xml:space="preserve">ustralian </w:t>
      </w:r>
      <w:r w:rsidRPr="0020268E">
        <w:rPr>
          <w:rFonts w:ascii="Arial" w:hAnsi="Arial" w:cs="Arial"/>
          <w:color w:val="auto"/>
          <w:sz w:val="22"/>
          <w:szCs w:val="23"/>
        </w:rPr>
        <w:t>E</w:t>
      </w:r>
      <w:r w:rsidR="003F5ECC">
        <w:rPr>
          <w:rFonts w:ascii="Arial" w:hAnsi="Arial" w:cs="Arial"/>
          <w:color w:val="auto"/>
          <w:sz w:val="22"/>
          <w:szCs w:val="23"/>
        </w:rPr>
        <w:t xml:space="preserve">nergy </w:t>
      </w:r>
      <w:r w:rsidRPr="0020268E">
        <w:rPr>
          <w:rFonts w:ascii="Arial" w:hAnsi="Arial" w:cs="Arial"/>
          <w:color w:val="auto"/>
          <w:sz w:val="22"/>
          <w:szCs w:val="23"/>
        </w:rPr>
        <w:t>M</w:t>
      </w:r>
      <w:r w:rsidR="003F5ECC">
        <w:rPr>
          <w:rFonts w:ascii="Arial" w:hAnsi="Arial" w:cs="Arial"/>
          <w:color w:val="auto"/>
          <w:sz w:val="22"/>
          <w:szCs w:val="23"/>
        </w:rPr>
        <w:t xml:space="preserve">arket </w:t>
      </w:r>
      <w:r w:rsidRPr="0020268E">
        <w:rPr>
          <w:rFonts w:ascii="Arial" w:hAnsi="Arial" w:cs="Arial"/>
          <w:color w:val="auto"/>
          <w:sz w:val="22"/>
          <w:szCs w:val="23"/>
        </w:rPr>
        <w:t>C</w:t>
      </w:r>
      <w:r w:rsidR="003F5ECC">
        <w:rPr>
          <w:rFonts w:ascii="Arial" w:hAnsi="Arial" w:cs="Arial"/>
          <w:color w:val="auto"/>
          <w:sz w:val="22"/>
          <w:szCs w:val="23"/>
        </w:rPr>
        <w:t>ommission (AEMC)</w:t>
      </w:r>
      <w:r w:rsidRPr="0020268E">
        <w:rPr>
          <w:rFonts w:ascii="Arial" w:hAnsi="Arial" w:cs="Arial"/>
          <w:color w:val="auto"/>
          <w:sz w:val="22"/>
          <w:szCs w:val="23"/>
        </w:rPr>
        <w:t xml:space="preserve"> makes and amends the detailed rules for the operation of the National Electricity Market and elements of the natural gas markets in accordance with the National Electricity Law and the National Gas Law. As part of its market development role, it also conducts market reviews with a view to providing strategic advice</w:t>
      </w:r>
      <w:r w:rsidR="00E9133B">
        <w:rPr>
          <w:rFonts w:ascii="Arial" w:hAnsi="Arial" w:cs="Arial"/>
          <w:color w:val="auto"/>
          <w:sz w:val="22"/>
          <w:szCs w:val="23"/>
        </w:rPr>
        <w:t xml:space="preserve"> to Energy Ministers from the participating jurisdictions</w:t>
      </w:r>
      <w:r w:rsidRPr="0020268E">
        <w:rPr>
          <w:rFonts w:ascii="Arial" w:hAnsi="Arial" w:cs="Arial"/>
          <w:color w:val="auto"/>
          <w:sz w:val="22"/>
          <w:szCs w:val="23"/>
        </w:rPr>
        <w:t xml:space="preserve">. </w:t>
      </w:r>
    </w:p>
    <w:p w:rsidR="0020268E" w:rsidRPr="003A0365" w:rsidRDefault="0020268E" w:rsidP="007105BC">
      <w:pPr>
        <w:numPr>
          <w:ilvl w:val="0"/>
          <w:numId w:val="5"/>
        </w:numPr>
        <w:spacing w:before="240"/>
        <w:ind w:left="0"/>
        <w:jc w:val="both"/>
        <w:rPr>
          <w:rFonts w:ascii="Arial" w:hAnsi="Arial" w:cs="Arial"/>
          <w:bCs/>
          <w:spacing w:val="-3"/>
          <w:sz w:val="20"/>
          <w:szCs w:val="22"/>
        </w:rPr>
      </w:pPr>
      <w:r w:rsidRPr="0020268E">
        <w:rPr>
          <w:rFonts w:ascii="Arial" w:hAnsi="Arial" w:cs="Arial"/>
          <w:color w:val="auto"/>
          <w:sz w:val="22"/>
          <w:szCs w:val="23"/>
        </w:rPr>
        <w:t>The AEMC’s work supports efficient, reliable and secure energy market frameworks which serve the long-term interests of consumers. An AEMC Funding Agreement apportions costs between the participating jurisdictions based on population.</w:t>
      </w:r>
    </w:p>
    <w:p w:rsidR="001C2096" w:rsidRPr="0020268E" w:rsidRDefault="001C2096" w:rsidP="007105BC">
      <w:pPr>
        <w:numPr>
          <w:ilvl w:val="0"/>
          <w:numId w:val="5"/>
        </w:numPr>
        <w:spacing w:before="240"/>
        <w:ind w:left="0"/>
        <w:jc w:val="both"/>
        <w:rPr>
          <w:rFonts w:ascii="Arial" w:hAnsi="Arial" w:cs="Arial"/>
          <w:bCs/>
          <w:spacing w:val="-3"/>
          <w:sz w:val="20"/>
          <w:szCs w:val="22"/>
        </w:rPr>
      </w:pPr>
      <w:r>
        <w:rPr>
          <w:rFonts w:ascii="Arial" w:hAnsi="Arial" w:cs="Arial"/>
          <w:color w:val="auto"/>
          <w:sz w:val="22"/>
          <w:szCs w:val="23"/>
        </w:rPr>
        <w:t xml:space="preserve">The Queensland Government has decided that Queensland’s AEMC contributions should be funded by an industry cost recovery mechanism, reflecting the fact that the benefits of the AEMC’s work flow to energy consumers. </w:t>
      </w:r>
    </w:p>
    <w:p w:rsidR="005F720D" w:rsidRPr="005F720D" w:rsidRDefault="005F720D" w:rsidP="003A0365">
      <w:pPr>
        <w:numPr>
          <w:ilvl w:val="0"/>
          <w:numId w:val="5"/>
        </w:numPr>
        <w:autoSpaceDE w:val="0"/>
        <w:autoSpaceDN w:val="0"/>
        <w:adjustRightInd w:val="0"/>
        <w:spacing w:before="240"/>
        <w:ind w:left="0"/>
        <w:jc w:val="both"/>
        <w:rPr>
          <w:rFonts w:ascii="Arial" w:hAnsi="Arial" w:cs="Arial"/>
          <w:color w:val="auto"/>
          <w:sz w:val="22"/>
          <w:szCs w:val="22"/>
        </w:rPr>
      </w:pPr>
      <w:r w:rsidRPr="005F720D">
        <w:rPr>
          <w:rFonts w:ascii="Arial" w:eastAsia="Calibri" w:hAnsi="Arial" w:cs="Arial"/>
          <w:color w:val="auto"/>
          <w:sz w:val="22"/>
          <w:szCs w:val="22"/>
        </w:rPr>
        <w:t xml:space="preserve">A levy on </w:t>
      </w:r>
      <w:r w:rsidR="003C3373">
        <w:rPr>
          <w:rFonts w:ascii="Arial" w:eastAsia="Calibri" w:hAnsi="Arial" w:cs="Arial"/>
          <w:color w:val="auto"/>
          <w:sz w:val="22"/>
          <w:szCs w:val="22"/>
        </w:rPr>
        <w:t xml:space="preserve">regulated </w:t>
      </w:r>
      <w:r w:rsidRPr="005F720D">
        <w:rPr>
          <w:rFonts w:ascii="Arial" w:eastAsia="Calibri" w:hAnsi="Arial" w:cs="Arial"/>
          <w:color w:val="auto"/>
          <w:sz w:val="22"/>
          <w:szCs w:val="22"/>
        </w:rPr>
        <w:t>electrici</w:t>
      </w:r>
      <w:r>
        <w:rPr>
          <w:rFonts w:ascii="Arial" w:eastAsia="Calibri" w:hAnsi="Arial" w:cs="Arial"/>
          <w:color w:val="auto"/>
          <w:sz w:val="22"/>
          <w:szCs w:val="22"/>
        </w:rPr>
        <w:t xml:space="preserve">ty transmission entities and </w:t>
      </w:r>
      <w:r w:rsidRPr="005F720D">
        <w:rPr>
          <w:rFonts w:ascii="Arial" w:eastAsia="Calibri" w:hAnsi="Arial" w:cs="Arial"/>
          <w:color w:val="auto"/>
          <w:sz w:val="22"/>
          <w:szCs w:val="22"/>
        </w:rPr>
        <w:t xml:space="preserve">gas pipelines </w:t>
      </w:r>
      <w:r w:rsidR="001C2096">
        <w:rPr>
          <w:rFonts w:ascii="Arial" w:eastAsia="Calibri" w:hAnsi="Arial" w:cs="Arial"/>
          <w:color w:val="auto"/>
          <w:sz w:val="22"/>
          <w:szCs w:val="22"/>
        </w:rPr>
        <w:t xml:space="preserve">operators </w:t>
      </w:r>
      <w:r w:rsidRPr="005F720D">
        <w:rPr>
          <w:rFonts w:ascii="Arial" w:eastAsia="Calibri" w:hAnsi="Arial" w:cs="Arial"/>
          <w:color w:val="auto"/>
          <w:sz w:val="22"/>
          <w:szCs w:val="22"/>
        </w:rPr>
        <w:t xml:space="preserve">is considered the most appropriate method of </w:t>
      </w:r>
      <w:r w:rsidR="001C2096">
        <w:rPr>
          <w:rFonts w:ascii="Arial" w:eastAsia="Calibri" w:hAnsi="Arial" w:cs="Arial"/>
          <w:color w:val="auto"/>
          <w:sz w:val="22"/>
          <w:szCs w:val="22"/>
        </w:rPr>
        <w:t>cost recovery,</w:t>
      </w:r>
      <w:r w:rsidRPr="001F7AA9">
        <w:rPr>
          <w:rFonts w:ascii="Arial" w:eastAsia="Calibri" w:hAnsi="Arial" w:cs="Arial"/>
          <w:color w:val="auto"/>
          <w:sz w:val="22"/>
          <w:szCs w:val="22"/>
        </w:rPr>
        <w:t xml:space="preserve"> as these </w:t>
      </w:r>
      <w:r w:rsidRPr="001C2096">
        <w:rPr>
          <w:rFonts w:ascii="Arial" w:eastAsia="Calibri" w:hAnsi="Arial" w:cs="Arial"/>
          <w:color w:val="auto"/>
          <w:sz w:val="22"/>
          <w:szCs w:val="22"/>
        </w:rPr>
        <w:t xml:space="preserve">bodies are subject to the </w:t>
      </w:r>
      <w:r w:rsidR="001C2096">
        <w:rPr>
          <w:rFonts w:ascii="Arial" w:eastAsia="Calibri" w:hAnsi="Arial" w:cs="Arial"/>
          <w:color w:val="auto"/>
          <w:sz w:val="22"/>
          <w:szCs w:val="22"/>
        </w:rPr>
        <w:t xml:space="preserve">National Electricity </w:t>
      </w:r>
      <w:r w:rsidRPr="001C2096">
        <w:rPr>
          <w:rFonts w:ascii="Arial" w:eastAsia="Calibri" w:hAnsi="Arial" w:cs="Arial"/>
          <w:color w:val="auto"/>
          <w:sz w:val="22"/>
          <w:szCs w:val="22"/>
        </w:rPr>
        <w:t>Rules</w:t>
      </w:r>
      <w:r w:rsidR="001C2096">
        <w:rPr>
          <w:rFonts w:ascii="Arial" w:eastAsia="Calibri" w:hAnsi="Arial" w:cs="Arial"/>
          <w:color w:val="auto"/>
          <w:sz w:val="22"/>
          <w:szCs w:val="22"/>
        </w:rPr>
        <w:t xml:space="preserve"> and National Gas Rules</w:t>
      </w:r>
      <w:r w:rsidR="0039192F">
        <w:rPr>
          <w:rFonts w:ascii="Arial" w:eastAsia="Calibri" w:hAnsi="Arial" w:cs="Arial"/>
          <w:color w:val="auto"/>
          <w:sz w:val="22"/>
          <w:szCs w:val="22"/>
        </w:rPr>
        <w:t>;</w:t>
      </w:r>
      <w:r w:rsidRPr="001C2096">
        <w:rPr>
          <w:rFonts w:ascii="Arial" w:eastAsia="Calibri" w:hAnsi="Arial" w:cs="Arial"/>
          <w:color w:val="auto"/>
          <w:sz w:val="22"/>
          <w:szCs w:val="22"/>
        </w:rPr>
        <w:t xml:space="preserve"> have the widest reach of customers that benefit from the work of the AEMC and are administratively the simplest and lowest-cost point at which to implement a levy</w:t>
      </w:r>
      <w:r>
        <w:rPr>
          <w:rFonts w:ascii="Arial" w:eastAsia="Calibri" w:hAnsi="Arial" w:cs="Arial"/>
          <w:color w:val="auto"/>
          <w:sz w:val="22"/>
          <w:szCs w:val="22"/>
        </w:rPr>
        <w:t xml:space="preserve">. </w:t>
      </w:r>
    </w:p>
    <w:p w:rsidR="0020268E" w:rsidRPr="0020268E" w:rsidRDefault="0020268E" w:rsidP="007105BC">
      <w:pPr>
        <w:numPr>
          <w:ilvl w:val="0"/>
          <w:numId w:val="5"/>
        </w:numPr>
        <w:spacing w:before="240"/>
        <w:ind w:left="0"/>
        <w:jc w:val="both"/>
        <w:rPr>
          <w:rFonts w:ascii="Arial" w:hAnsi="Arial" w:cs="Arial"/>
          <w:color w:val="auto"/>
          <w:sz w:val="22"/>
          <w:szCs w:val="23"/>
        </w:rPr>
      </w:pPr>
      <w:r w:rsidRPr="0020268E">
        <w:rPr>
          <w:rFonts w:ascii="Arial" w:hAnsi="Arial" w:cs="Arial"/>
          <w:color w:val="auto"/>
          <w:sz w:val="22"/>
          <w:szCs w:val="23"/>
        </w:rPr>
        <w:t xml:space="preserve">The Bill will expand the existing conditions for holding an electricity transmission authority or a natural gas pipeline licence to provide for </w:t>
      </w:r>
      <w:r w:rsidR="00E9133B">
        <w:rPr>
          <w:rFonts w:ascii="Arial" w:hAnsi="Arial" w:cs="Arial"/>
          <w:color w:val="auto"/>
          <w:sz w:val="22"/>
          <w:szCs w:val="23"/>
        </w:rPr>
        <w:t xml:space="preserve">the </w:t>
      </w:r>
      <w:r w:rsidRPr="0020268E">
        <w:rPr>
          <w:rFonts w:ascii="Arial" w:hAnsi="Arial" w:cs="Arial"/>
          <w:color w:val="auto"/>
          <w:sz w:val="22"/>
          <w:szCs w:val="23"/>
        </w:rPr>
        <w:t>imposition of fees to cover Queensland’s contribution to funding the AEMC. The Bill ensures the</w:t>
      </w:r>
      <w:r w:rsidR="003C3373">
        <w:rPr>
          <w:rFonts w:ascii="Arial" w:hAnsi="Arial" w:cs="Arial"/>
          <w:color w:val="auto"/>
          <w:sz w:val="22"/>
          <w:szCs w:val="23"/>
        </w:rPr>
        <w:t>se</w:t>
      </w:r>
      <w:r w:rsidRPr="0020268E">
        <w:rPr>
          <w:rFonts w:ascii="Arial" w:hAnsi="Arial" w:cs="Arial"/>
          <w:color w:val="auto"/>
          <w:sz w:val="22"/>
          <w:szCs w:val="23"/>
        </w:rPr>
        <w:t xml:space="preserve"> fees will only apply to regulated transmission entities that are subject to the national electricity and gas rules and therefore benefit from the functions of the AEMC.</w:t>
      </w:r>
    </w:p>
    <w:p w:rsidR="00855AD4" w:rsidRPr="00B43BCD" w:rsidRDefault="00855AD4" w:rsidP="00B43BCD">
      <w:pPr>
        <w:numPr>
          <w:ilvl w:val="0"/>
          <w:numId w:val="5"/>
        </w:numPr>
        <w:spacing w:before="240"/>
        <w:ind w:left="0"/>
        <w:jc w:val="both"/>
        <w:rPr>
          <w:rFonts w:ascii="Arial" w:hAnsi="Arial" w:cs="Arial"/>
          <w:color w:val="auto"/>
          <w:sz w:val="22"/>
          <w:szCs w:val="23"/>
        </w:rPr>
      </w:pPr>
      <w:r w:rsidRPr="00B43BCD">
        <w:rPr>
          <w:rFonts w:ascii="Arial" w:hAnsi="Arial" w:cs="Arial"/>
          <w:color w:val="auto"/>
          <w:sz w:val="22"/>
          <w:szCs w:val="23"/>
          <w:u w:val="single"/>
        </w:rPr>
        <w:t>Cabinet</w:t>
      </w:r>
      <w:r w:rsidR="00B43BCD" w:rsidRPr="00B43BCD">
        <w:rPr>
          <w:rFonts w:ascii="Arial" w:hAnsi="Arial" w:cs="Arial"/>
          <w:color w:val="auto"/>
          <w:sz w:val="22"/>
          <w:szCs w:val="23"/>
          <w:u w:val="single"/>
        </w:rPr>
        <w:t xml:space="preserve"> </w:t>
      </w:r>
      <w:r w:rsidRPr="00B43BCD">
        <w:rPr>
          <w:rFonts w:ascii="Arial" w:hAnsi="Arial" w:cs="Arial"/>
          <w:color w:val="auto"/>
          <w:sz w:val="22"/>
          <w:szCs w:val="23"/>
          <w:u w:val="single"/>
        </w:rPr>
        <w:t>approved</w:t>
      </w:r>
      <w:r w:rsidRPr="00B43BCD">
        <w:rPr>
          <w:rFonts w:ascii="Arial" w:hAnsi="Arial" w:cs="Arial"/>
          <w:color w:val="auto"/>
          <w:sz w:val="22"/>
          <w:szCs w:val="23"/>
        </w:rPr>
        <w:t xml:space="preserve"> the Energy Legislation (AEMC Payments) Amendment Bill 2014 be introduced into the Legislativ</w:t>
      </w:r>
      <w:r w:rsidR="0039192F" w:rsidRPr="00B43BCD">
        <w:rPr>
          <w:rFonts w:ascii="Arial" w:hAnsi="Arial" w:cs="Arial"/>
          <w:color w:val="auto"/>
          <w:sz w:val="22"/>
          <w:szCs w:val="23"/>
        </w:rPr>
        <w:t>e Assembly</w:t>
      </w:r>
      <w:r w:rsidRPr="00B43BCD">
        <w:rPr>
          <w:rFonts w:ascii="Arial" w:hAnsi="Arial" w:cs="Arial"/>
          <w:color w:val="auto"/>
          <w:sz w:val="22"/>
          <w:szCs w:val="23"/>
        </w:rPr>
        <w:t xml:space="preserve">. </w:t>
      </w:r>
    </w:p>
    <w:p w:rsidR="003F5ECC" w:rsidRDefault="00B43BCD" w:rsidP="00B43BCD">
      <w:pPr>
        <w:numPr>
          <w:ilvl w:val="0"/>
          <w:numId w:val="5"/>
        </w:numPr>
        <w:spacing w:before="240"/>
        <w:ind w:left="0"/>
        <w:jc w:val="both"/>
        <w:rPr>
          <w:rFonts w:ascii="Arial" w:hAnsi="Arial" w:cs="Arial"/>
          <w:color w:val="auto"/>
          <w:sz w:val="22"/>
          <w:szCs w:val="23"/>
        </w:rPr>
      </w:pPr>
      <w:r w:rsidRPr="00B43BCD">
        <w:rPr>
          <w:rFonts w:ascii="Arial" w:hAnsi="Arial" w:cs="Arial"/>
          <w:color w:val="auto"/>
          <w:sz w:val="22"/>
          <w:szCs w:val="23"/>
          <w:u w:val="single"/>
        </w:rPr>
        <w:t xml:space="preserve">Cabinet </w:t>
      </w:r>
      <w:r w:rsidR="003F5ECC" w:rsidRPr="00B43BCD">
        <w:rPr>
          <w:rFonts w:ascii="Arial" w:hAnsi="Arial" w:cs="Arial"/>
          <w:color w:val="auto"/>
          <w:sz w:val="22"/>
          <w:szCs w:val="23"/>
          <w:u w:val="single"/>
        </w:rPr>
        <w:t>noted</w:t>
      </w:r>
      <w:r w:rsidR="003F5ECC">
        <w:rPr>
          <w:rFonts w:ascii="Arial" w:hAnsi="Arial" w:cs="Arial"/>
          <w:color w:val="auto"/>
          <w:sz w:val="22"/>
          <w:szCs w:val="23"/>
        </w:rPr>
        <w:t xml:space="preserve"> </w:t>
      </w:r>
      <w:r w:rsidR="00B844F2">
        <w:rPr>
          <w:rFonts w:ascii="Arial" w:hAnsi="Arial" w:cs="Arial"/>
          <w:color w:val="auto"/>
          <w:sz w:val="22"/>
          <w:szCs w:val="23"/>
        </w:rPr>
        <w:t xml:space="preserve">that </w:t>
      </w:r>
      <w:r w:rsidR="003F5ECC">
        <w:rPr>
          <w:rFonts w:ascii="Arial" w:hAnsi="Arial" w:cs="Arial"/>
          <w:color w:val="auto"/>
          <w:sz w:val="22"/>
          <w:szCs w:val="23"/>
        </w:rPr>
        <w:t xml:space="preserve">the </w:t>
      </w:r>
      <w:r w:rsidR="003F5ECC" w:rsidRPr="00B43BCD">
        <w:rPr>
          <w:rFonts w:ascii="Arial" w:hAnsi="Arial" w:cs="Arial"/>
          <w:color w:val="auto"/>
          <w:sz w:val="22"/>
          <w:szCs w:val="23"/>
        </w:rPr>
        <w:t xml:space="preserve">Energy Legislation (AEMC Payments) Amendment Bill 2014 </w:t>
      </w:r>
      <w:r w:rsidR="00B844F2">
        <w:rPr>
          <w:rFonts w:ascii="Arial" w:hAnsi="Arial" w:cs="Arial"/>
          <w:color w:val="auto"/>
          <w:sz w:val="22"/>
          <w:szCs w:val="23"/>
        </w:rPr>
        <w:t xml:space="preserve">will </w:t>
      </w:r>
      <w:r w:rsidR="003F5ECC" w:rsidRPr="00B43BCD">
        <w:rPr>
          <w:rFonts w:ascii="Arial" w:hAnsi="Arial" w:cs="Arial"/>
          <w:color w:val="auto"/>
          <w:sz w:val="22"/>
          <w:szCs w:val="23"/>
        </w:rPr>
        <w:t>be incorporated into the Electricity and Other Legislation Amendment Bill 2014</w:t>
      </w:r>
      <w:r w:rsidRPr="00B43BCD">
        <w:rPr>
          <w:rFonts w:ascii="Arial" w:hAnsi="Arial" w:cs="Arial"/>
          <w:color w:val="auto"/>
          <w:sz w:val="22"/>
          <w:szCs w:val="23"/>
        </w:rPr>
        <w:t xml:space="preserve"> pri</w:t>
      </w:r>
      <w:r>
        <w:rPr>
          <w:rFonts w:ascii="Arial" w:hAnsi="Arial" w:cs="Arial"/>
          <w:color w:val="auto"/>
          <w:sz w:val="22"/>
          <w:szCs w:val="23"/>
        </w:rPr>
        <w:t>or to introduction</w:t>
      </w:r>
      <w:r w:rsidR="003F5ECC">
        <w:rPr>
          <w:rFonts w:ascii="Arial" w:hAnsi="Arial" w:cs="Arial"/>
          <w:color w:val="auto"/>
          <w:sz w:val="22"/>
          <w:szCs w:val="23"/>
        </w:rPr>
        <w:t>.</w:t>
      </w:r>
    </w:p>
    <w:p w:rsidR="003F5ECC" w:rsidRDefault="00B43BCD" w:rsidP="00B43BCD">
      <w:pPr>
        <w:numPr>
          <w:ilvl w:val="0"/>
          <w:numId w:val="5"/>
        </w:numPr>
        <w:spacing w:before="240"/>
        <w:ind w:left="0"/>
        <w:jc w:val="both"/>
        <w:rPr>
          <w:rFonts w:ascii="Arial" w:hAnsi="Arial" w:cs="Arial"/>
          <w:color w:val="auto"/>
          <w:sz w:val="22"/>
          <w:szCs w:val="23"/>
        </w:rPr>
      </w:pPr>
      <w:r w:rsidRPr="00B43BCD">
        <w:rPr>
          <w:rFonts w:ascii="Arial" w:hAnsi="Arial" w:cs="Arial"/>
          <w:color w:val="auto"/>
          <w:sz w:val="22"/>
          <w:szCs w:val="23"/>
          <w:u w:val="single"/>
        </w:rPr>
        <w:t xml:space="preserve">Cabinet </w:t>
      </w:r>
      <w:r w:rsidR="003F5ECC" w:rsidRPr="00B43BCD">
        <w:rPr>
          <w:rFonts w:ascii="Arial" w:hAnsi="Arial" w:cs="Arial"/>
          <w:color w:val="auto"/>
          <w:sz w:val="22"/>
          <w:szCs w:val="23"/>
          <w:u w:val="single"/>
        </w:rPr>
        <w:t>noted</w:t>
      </w:r>
      <w:r w:rsidR="003F5ECC">
        <w:rPr>
          <w:rFonts w:ascii="Arial" w:hAnsi="Arial" w:cs="Arial"/>
          <w:color w:val="auto"/>
          <w:sz w:val="22"/>
          <w:szCs w:val="23"/>
        </w:rPr>
        <w:t xml:space="preserve"> </w:t>
      </w:r>
      <w:r w:rsidR="003F5ECC" w:rsidRPr="00855AD4">
        <w:rPr>
          <w:rFonts w:ascii="Arial" w:hAnsi="Arial" w:cs="Arial"/>
          <w:color w:val="auto"/>
          <w:sz w:val="22"/>
          <w:szCs w:val="23"/>
        </w:rPr>
        <w:t>that the</w:t>
      </w:r>
      <w:r w:rsidR="003F5ECC" w:rsidRPr="00B43BCD">
        <w:rPr>
          <w:rFonts w:ascii="Arial" w:hAnsi="Arial" w:cs="Arial"/>
          <w:color w:val="auto"/>
          <w:sz w:val="22"/>
          <w:szCs w:val="23"/>
        </w:rPr>
        <w:t xml:space="preserve"> Electricity and Other Legislation Amendment Bill 2014 </w:t>
      </w:r>
      <w:r w:rsidR="003F5ECC" w:rsidRPr="00855AD4">
        <w:rPr>
          <w:rFonts w:ascii="Arial" w:hAnsi="Arial" w:cs="Arial"/>
          <w:color w:val="auto"/>
          <w:sz w:val="22"/>
          <w:szCs w:val="23"/>
        </w:rPr>
        <w:t>will be referred to an appropriate Parliamentary Portfolio Committee for consideration and report</w:t>
      </w:r>
      <w:r w:rsidR="003F5ECC">
        <w:rPr>
          <w:rFonts w:ascii="Arial" w:hAnsi="Arial" w:cs="Arial"/>
          <w:color w:val="auto"/>
          <w:sz w:val="22"/>
          <w:szCs w:val="23"/>
        </w:rPr>
        <w:t>.</w:t>
      </w:r>
    </w:p>
    <w:p w:rsidR="003F5ECC" w:rsidRPr="007105BC" w:rsidRDefault="009B043D" w:rsidP="00B844F2">
      <w:pPr>
        <w:numPr>
          <w:ilvl w:val="0"/>
          <w:numId w:val="5"/>
        </w:numPr>
        <w:spacing w:before="360"/>
        <w:ind w:left="0" w:hanging="357"/>
        <w:jc w:val="both"/>
        <w:rPr>
          <w:rFonts w:ascii="Arial" w:hAnsi="Arial" w:cs="Arial"/>
          <w:i/>
          <w:iCs/>
          <w:color w:val="auto"/>
          <w:sz w:val="22"/>
          <w:szCs w:val="23"/>
        </w:rPr>
      </w:pPr>
      <w:r w:rsidRPr="007105BC">
        <w:rPr>
          <w:rFonts w:ascii="Arial" w:hAnsi="Arial" w:cs="Arial"/>
          <w:bCs/>
          <w:i/>
          <w:color w:val="auto"/>
          <w:sz w:val="22"/>
          <w:szCs w:val="23"/>
          <w:u w:val="single"/>
        </w:rPr>
        <w:t>Attachment</w:t>
      </w:r>
      <w:r w:rsidR="00B844F2" w:rsidRPr="00B844F2">
        <w:rPr>
          <w:rFonts w:ascii="Arial" w:hAnsi="Arial" w:cs="Arial"/>
          <w:bCs/>
          <w:color w:val="auto"/>
          <w:sz w:val="22"/>
          <w:szCs w:val="23"/>
          <w:u w:val="single"/>
        </w:rPr>
        <w:t>s</w:t>
      </w:r>
    </w:p>
    <w:p w:rsidR="0020268E" w:rsidRPr="00B43BCD" w:rsidRDefault="006E176D" w:rsidP="00B844F2">
      <w:pPr>
        <w:numPr>
          <w:ilvl w:val="0"/>
          <w:numId w:val="7"/>
        </w:numPr>
        <w:spacing w:before="120"/>
        <w:ind w:left="357" w:hanging="357"/>
        <w:jc w:val="both"/>
        <w:rPr>
          <w:rFonts w:ascii="Arial" w:hAnsi="Arial" w:cs="Arial"/>
          <w:iCs/>
          <w:color w:val="auto"/>
          <w:sz w:val="22"/>
          <w:szCs w:val="23"/>
        </w:rPr>
      </w:pPr>
      <w:hyperlink r:id="rId8" w:history="1">
        <w:r w:rsidR="00B43BCD" w:rsidRPr="002866B7">
          <w:rPr>
            <w:rStyle w:val="Hyperlink"/>
            <w:rFonts w:ascii="Arial" w:hAnsi="Arial" w:cs="Arial"/>
            <w:sz w:val="22"/>
            <w:szCs w:val="23"/>
          </w:rPr>
          <w:t>Electricity and Other Legislation Amendment Bill 2014</w:t>
        </w:r>
      </w:hyperlink>
    </w:p>
    <w:p w:rsidR="0079035F" w:rsidRPr="00B43BCD" w:rsidRDefault="006E176D" w:rsidP="00B844F2">
      <w:pPr>
        <w:numPr>
          <w:ilvl w:val="0"/>
          <w:numId w:val="7"/>
        </w:numPr>
        <w:spacing w:before="120"/>
        <w:ind w:left="357" w:hanging="357"/>
        <w:jc w:val="both"/>
        <w:rPr>
          <w:rFonts w:ascii="Arial" w:hAnsi="Arial" w:cs="Arial"/>
          <w:iCs/>
          <w:color w:val="auto"/>
          <w:sz w:val="22"/>
          <w:szCs w:val="23"/>
        </w:rPr>
      </w:pPr>
      <w:hyperlink r:id="rId9" w:history="1">
        <w:r w:rsidR="00B43BCD" w:rsidRPr="002866B7">
          <w:rPr>
            <w:rStyle w:val="Hyperlink"/>
            <w:rFonts w:ascii="Arial" w:hAnsi="Arial" w:cs="Arial"/>
            <w:sz w:val="22"/>
            <w:szCs w:val="23"/>
          </w:rPr>
          <w:t>Explanatory Notes</w:t>
        </w:r>
      </w:hyperlink>
    </w:p>
    <w:sectPr w:rsidR="0079035F" w:rsidRPr="00B43BCD" w:rsidSect="00B844F2">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40" w:rsidRDefault="00D92340" w:rsidP="00D6589B">
      <w:r>
        <w:separator/>
      </w:r>
    </w:p>
  </w:endnote>
  <w:endnote w:type="continuationSeparator" w:id="0">
    <w:p w:rsidR="00D92340" w:rsidRDefault="00D9234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40" w:rsidRDefault="00D92340" w:rsidP="00D6589B">
      <w:r>
        <w:separator/>
      </w:r>
    </w:p>
  </w:footnote>
  <w:footnote w:type="continuationSeparator" w:id="0">
    <w:p w:rsidR="00D92340" w:rsidRDefault="00D92340"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C45" w:rsidRPr="00937A4A" w:rsidRDefault="00396C45" w:rsidP="00396C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396C45" w:rsidRPr="00937A4A" w:rsidRDefault="00396C45" w:rsidP="00396C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396C45" w:rsidRPr="00937A4A" w:rsidRDefault="00396C45" w:rsidP="00396C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2014</w:t>
    </w:r>
  </w:p>
  <w:p w:rsidR="00396C45" w:rsidRPr="00B844F2" w:rsidRDefault="00396C45" w:rsidP="00396C45">
    <w:pPr>
      <w:pStyle w:val="Header"/>
      <w:spacing w:before="120"/>
      <w:rPr>
        <w:rFonts w:ascii="Arial" w:hAnsi="Arial" w:cs="Arial"/>
        <w:b/>
        <w:sz w:val="22"/>
        <w:szCs w:val="22"/>
        <w:u w:val="single"/>
      </w:rPr>
    </w:pPr>
    <w:r w:rsidRPr="00B844F2">
      <w:rPr>
        <w:rFonts w:ascii="Arial" w:hAnsi="Arial" w:cs="Arial"/>
        <w:b/>
        <w:sz w:val="22"/>
        <w:szCs w:val="22"/>
        <w:u w:val="single"/>
      </w:rPr>
      <w:t>Energy Legislation (AEMC Payments) Amendment Bill 2014</w:t>
    </w:r>
  </w:p>
  <w:p w:rsidR="00396C45" w:rsidRDefault="00396C45" w:rsidP="00B844F2">
    <w:pPr>
      <w:pStyle w:val="Header"/>
      <w:pBdr>
        <w:bottom w:val="single" w:sz="4" w:space="1" w:color="auto"/>
      </w:pBdr>
      <w:spacing w:before="120"/>
      <w:rPr>
        <w:rFonts w:ascii="Arial" w:hAnsi="Arial" w:cs="Arial"/>
        <w:b/>
        <w:sz w:val="22"/>
        <w:szCs w:val="22"/>
        <w:u w:val="single"/>
      </w:rPr>
    </w:pPr>
    <w:r w:rsidRPr="0020268E">
      <w:rPr>
        <w:rFonts w:ascii="Arial" w:hAnsi="Arial" w:cs="Arial"/>
        <w:b/>
        <w:sz w:val="22"/>
        <w:szCs w:val="22"/>
        <w:u w:val="single"/>
      </w:rPr>
      <w:t>Minister for Energy and Water Supply</w:t>
    </w:r>
  </w:p>
  <w:p w:rsidR="00396C45" w:rsidRDefault="00396C45" w:rsidP="00396C45">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86E02"/>
    <w:multiLevelType w:val="hybridMultilevel"/>
    <w:tmpl w:val="40AC5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A2B5E88"/>
    <w:multiLevelType w:val="hybridMultilevel"/>
    <w:tmpl w:val="C86A4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52486A"/>
    <w:multiLevelType w:val="hybridMultilevel"/>
    <w:tmpl w:val="A0D21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962EE4"/>
    <w:multiLevelType w:val="hybridMultilevel"/>
    <w:tmpl w:val="33047286"/>
    <w:lvl w:ilvl="0" w:tplc="9E9EBFD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7990AB9"/>
    <w:multiLevelType w:val="hybridMultilevel"/>
    <w:tmpl w:val="FEA0E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26659"/>
    <w:rsid w:val="00080F8F"/>
    <w:rsid w:val="000A2C90"/>
    <w:rsid w:val="0010384C"/>
    <w:rsid w:val="001051E9"/>
    <w:rsid w:val="001510BE"/>
    <w:rsid w:val="00174117"/>
    <w:rsid w:val="00177D72"/>
    <w:rsid w:val="0019162E"/>
    <w:rsid w:val="001C2096"/>
    <w:rsid w:val="001F7AA9"/>
    <w:rsid w:val="002017F6"/>
    <w:rsid w:val="0020268E"/>
    <w:rsid w:val="00210984"/>
    <w:rsid w:val="0025149E"/>
    <w:rsid w:val="00260E5E"/>
    <w:rsid w:val="002866B7"/>
    <w:rsid w:val="002D4B45"/>
    <w:rsid w:val="003228FF"/>
    <w:rsid w:val="0039192F"/>
    <w:rsid w:val="00396C45"/>
    <w:rsid w:val="003A0365"/>
    <w:rsid w:val="003C3373"/>
    <w:rsid w:val="003F5ECC"/>
    <w:rsid w:val="003F666B"/>
    <w:rsid w:val="004445F8"/>
    <w:rsid w:val="004465C6"/>
    <w:rsid w:val="004A7310"/>
    <w:rsid w:val="004C41FE"/>
    <w:rsid w:val="004F5D69"/>
    <w:rsid w:val="00501C66"/>
    <w:rsid w:val="00550873"/>
    <w:rsid w:val="00595BA1"/>
    <w:rsid w:val="005E16B4"/>
    <w:rsid w:val="005F720D"/>
    <w:rsid w:val="00671DB2"/>
    <w:rsid w:val="006E176D"/>
    <w:rsid w:val="007105BC"/>
    <w:rsid w:val="00714C0C"/>
    <w:rsid w:val="007224DC"/>
    <w:rsid w:val="007265D0"/>
    <w:rsid w:val="00732E22"/>
    <w:rsid w:val="00741C20"/>
    <w:rsid w:val="0079035F"/>
    <w:rsid w:val="007A68D7"/>
    <w:rsid w:val="00806CBE"/>
    <w:rsid w:val="00855AD4"/>
    <w:rsid w:val="00904077"/>
    <w:rsid w:val="00937A4A"/>
    <w:rsid w:val="00945402"/>
    <w:rsid w:val="0097720F"/>
    <w:rsid w:val="009B043D"/>
    <w:rsid w:val="009C5B97"/>
    <w:rsid w:val="00AD09FE"/>
    <w:rsid w:val="00AF4176"/>
    <w:rsid w:val="00B24914"/>
    <w:rsid w:val="00B37DB2"/>
    <w:rsid w:val="00B43BCD"/>
    <w:rsid w:val="00B844F2"/>
    <w:rsid w:val="00B9265B"/>
    <w:rsid w:val="00C31381"/>
    <w:rsid w:val="00C54271"/>
    <w:rsid w:val="00C56920"/>
    <w:rsid w:val="00C56F9A"/>
    <w:rsid w:val="00C75E67"/>
    <w:rsid w:val="00CA6F08"/>
    <w:rsid w:val="00CB1501"/>
    <w:rsid w:val="00CD7A50"/>
    <w:rsid w:val="00CE78FA"/>
    <w:rsid w:val="00CF0D8A"/>
    <w:rsid w:val="00D6589B"/>
    <w:rsid w:val="00D766EC"/>
    <w:rsid w:val="00D92340"/>
    <w:rsid w:val="00E5693B"/>
    <w:rsid w:val="00E811AD"/>
    <w:rsid w:val="00E82D23"/>
    <w:rsid w:val="00E9133B"/>
    <w:rsid w:val="00EA3FD6"/>
    <w:rsid w:val="00F13DBE"/>
    <w:rsid w:val="00F36F9A"/>
    <w:rsid w:val="00F653CA"/>
    <w:rsid w:val="00FD3EE9"/>
    <w:rsid w:val="00FF7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customStyle="1" w:styleId="Default">
    <w:name w:val="Default"/>
    <w:rsid w:val="0020268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3F5ECC"/>
    <w:pPr>
      <w:ind w:left="720"/>
    </w:pPr>
  </w:style>
  <w:style w:type="character" w:styleId="CommentReference">
    <w:name w:val="annotation reference"/>
    <w:uiPriority w:val="99"/>
    <w:semiHidden/>
    <w:unhideWhenUsed/>
    <w:rsid w:val="00806CBE"/>
    <w:rPr>
      <w:sz w:val="16"/>
      <w:szCs w:val="16"/>
    </w:rPr>
  </w:style>
  <w:style w:type="paragraph" w:styleId="CommentText">
    <w:name w:val="annotation text"/>
    <w:basedOn w:val="Normal"/>
    <w:link w:val="CommentTextChar"/>
    <w:uiPriority w:val="99"/>
    <w:semiHidden/>
    <w:unhideWhenUsed/>
    <w:rsid w:val="00806CBE"/>
    <w:rPr>
      <w:sz w:val="20"/>
      <w:lang w:val="x-none" w:eastAsia="x-none"/>
    </w:rPr>
  </w:style>
  <w:style w:type="character" w:customStyle="1" w:styleId="CommentTextChar">
    <w:name w:val="Comment Text Char"/>
    <w:link w:val="CommentText"/>
    <w:uiPriority w:val="99"/>
    <w:semiHidden/>
    <w:rsid w:val="00806CBE"/>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806CBE"/>
    <w:rPr>
      <w:b/>
      <w:bCs/>
    </w:rPr>
  </w:style>
  <w:style w:type="character" w:customStyle="1" w:styleId="CommentSubjectChar">
    <w:name w:val="Comment Subject Char"/>
    <w:link w:val="CommentSubject"/>
    <w:uiPriority w:val="99"/>
    <w:semiHidden/>
    <w:rsid w:val="00806CBE"/>
    <w:rPr>
      <w:rFonts w:ascii="Times New Roman" w:eastAsia="Times New Roman" w:hAnsi="Times New Roman"/>
      <w:b/>
      <w:bCs/>
      <w:color w:val="000000"/>
    </w:rPr>
  </w:style>
  <w:style w:type="character" w:styleId="Hyperlink">
    <w:name w:val="Hyperlink"/>
    <w:uiPriority w:val="99"/>
    <w:unhideWhenUsed/>
    <w:rsid w:val="002866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Bil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ttachments/ExNo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A16C-AB8F-47DA-8021-35EF819C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350</Words>
  <Characters>1990</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2335</CharactersWithSpaces>
  <SharedDoc>false</SharedDoc>
  <HyperlinkBase>https://www.cabinet.qld.gov.au/documents/2014/Mar/AEMC Payments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2014-05-09T04:43:00Z</cp:lastPrinted>
  <dcterms:created xsi:type="dcterms:W3CDTF">2017-10-25T01:15:00Z</dcterms:created>
  <dcterms:modified xsi:type="dcterms:W3CDTF">2018-03-06T01:25:00Z</dcterms:modified>
  <cp:category>Electricity,Legislation,Energy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